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935099fe587cbc967041b75b457690fb0f482"/>
    <w:p>
      <w:pPr>
        <w:pStyle w:val="Heading3"/>
      </w:pPr>
      <w:r>
        <w:t xml:space="preserve">Специальное программное обеспечение «Справки БК» и информационные материалы по заполнению справок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23.11.2022</w:t>
      </w:r>
    </w:p>
    <w:p>
      <w:pPr>
        <w:pStyle w:val="BodyText"/>
      </w:pPr>
      <w:hyperlink r:id="rId20">
        <w:r>
          <w:rPr>
            <w:rStyle w:val="Hyperlink"/>
          </w:rPr>
          <w:t xml:space="preserve">Специальное программное обеспечение «Справки БК» и информационные материалы по заполнению справок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http://zao.mos.ru/anti-corruption/forms-of-documents-related-to-anti-corruption-for-filling/detail/11245729.html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kremlin.ru/structure/additional/12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anti-corruption/forms-of-documents-related-to-anti-corruption-for-filling/detail/11245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kremlin.ru/structure/additional/12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anti-corruption/forms-of-documents-related-to-anti-corruption-for-filling/detail/11245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2025-06-14T16:09:24Z</dcterms:created>
  <dcterms:modified xsi:type="dcterms:W3CDTF">2025-06-14T16:09:24Z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