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0cbf248ee7e69da3a92b4f58da58cff7bf8d523"/>
    <w:p>
      <w:pPr>
        <w:pStyle w:val="Heading3"/>
      </w:pPr>
      <w:r>
        <w:t xml:space="preserve">Сборник положений нормативных правовых актов, устанавливающих меры ответственности за совершение коррупционных правонарушений</w:t>
      </w:r>
    </w:p>
    <w:p>
      <w:pPr>
        <w:pStyle w:val="FirstParagraph"/>
      </w:pPr>
      <w:r>
        <w:t xml:space="preserve">19.05.2014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http://zao.mos.ru/anti-corruption/methodical-materials/detail/1210333.html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Западного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210333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ao.mos.ru" TargetMode="External" /><Relationship Type="http://schemas.openxmlformats.org/officeDocument/2006/relationships/hyperlink" Id="rId20" Target="http://zao.mos.ru/anti-corruption/methodical-materials/detail/1210333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2025-08-05T22:29:31Z</dcterms:created>
  <dcterms:modified xsi:type="dcterms:W3CDTF">2025-08-05T22:29:31Z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