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d805751622f252585337d4b0ad09907a09c9a"/>
    <w:p>
      <w:pPr>
        <w:pStyle w:val="Heading3"/>
      </w:pPr>
      <w:r>
        <w:t xml:space="preserve">Рекомендации по соблюдению государственными (муниципальными) служащими норм этики в целях противодействия коррупции и иным правонарушениям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http://zao.mos.ru/anti-corruption/methodical-materials/detail/12701427.html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methodical-materials/detail/12701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methodical-materials/detail/12701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2025-04-28T11:53:54Z</dcterms:created>
  <dcterms:modified xsi:type="dcterms:W3CDTF">2025-04-28T11:53:54Z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