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ed6d4ee66f90a24bdce1168ca15df21d942a1"/>
    <w:p>
      <w:pPr>
        <w:pStyle w:val="Heading3"/>
      </w:pPr>
      <w:r>
        <w:t xml:space="preserve">Приказ префектуры Западного административного округа города Москвы от 12.11.2021 № 358-П "О внесении изменений в приказ префектуры от 30.06.2015 г. № 253-П"</w:t>
      </w:r>
    </w:p>
    <w:p>
      <w:pPr>
        <w:pStyle w:val="FirstParagraph"/>
      </w:pPr>
      <w:r>
        <w:t xml:space="preserve">27.04.2022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http://zao.mos.ru/anti-corruption/the-commission-for-observance-of-requirements-for-the-official-behaviour-of-state-civil-employees-of/detail/10782135.html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the-commission-for-observance-of-requirements-for-the-official-behaviour-of-state-civil-employees-of/detail/10782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the-commission-for-observance-of-requirements-for-the-official-behaviour-of-state-civil-employees-of/detail/10782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2025-02-13T21:36:01Z</dcterms:created>
  <dcterms:modified xsi:type="dcterms:W3CDTF">2025-02-13T21:36:01Z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