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86c37c7cf8b937e8f8c28da8c732b68a328101"/>
    <w:p>
      <w:pPr>
        <w:pStyle w:val="Heading3"/>
      </w:pPr>
      <w:r>
        <w:t xml:space="preserve">Сведения о состоявшихся заседаниях Комиссии</w:t>
      </w:r>
    </w:p>
    <w:p>
      <w:pPr>
        <w:pStyle w:val="FirstParagraph"/>
      </w:pPr>
      <w:r>
        <w:t xml:space="preserve">03.07.2023</w:t>
      </w:r>
    </w:p>
    <w:p>
      <w:pPr>
        <w:pStyle w:val="BodyText"/>
      </w:pPr>
      <w:r>
        <w:rPr>
          <w:bCs/>
          <w:b/>
        </w:rPr>
        <w:t xml:space="preserve">Сведения о состоявшихся заседаниях Комиссии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Основание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Принятое решение</w:t>
            </w:r>
          </w:p>
        </w:tc>
      </w:tr>
      <w:tr>
        <w:tc>
          <w:tcPr>
            <w:vMerge w:val="restart"/>
          </w:tcPr>
          <w:p>
            <w:pPr>
              <w:jc w:val="left"/>
            </w:pPr>
            <w:r>
              <w:t xml:space="preserve">28.06.2023</w:t>
            </w:r>
          </w:p>
        </w:tc>
        <w:tc>
          <w:tcPr/>
          <w:p>
            <w:pPr>
              <w:jc w:val="left"/>
            </w:pPr>
            <w:r>
              <w:t xml:space="preserve">Заявление государственного гражданского служащего</w:t>
            </w:r>
          </w:p>
        </w:tc>
        <w:tc>
          <w:tcPr/>
          <w:p>
            <w:pPr>
              <w:jc w:val="left"/>
            </w:pPr>
            <w:r>
              <w:t xml:space="preserve">Признать причину непредставления государственным гражданским служащим сведений о доходах, об имуществе и обязательствах имущественного характера своих несовершеннолетних детей объективной и уважительной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Заявление государственного гражданского служащего</w:t>
            </w:r>
          </w:p>
        </w:tc>
        <w:tc>
          <w:tcPr/>
          <w:p>
            <w:pPr>
              <w:jc w:val="left"/>
            </w:pPr>
            <w:r>
              <w:t xml:space="preserve">Признать причину непредставления государственным гражданским служащим сведений о доходах, об имуществе и обязательствах имущественного характера своего супруга объективной и уважительной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Материалы контроля за расходами,осуществленного в соответствии с</w:t>
            </w:r>
            <w:r>
              <w:t xml:space="preserve"> </w:t>
            </w:r>
            <w:hyperlink r:id="rId20">
              <w:r>
                <w:rPr>
                  <w:rStyle w:val="Hyperlink"/>
                </w:rPr>
                <w:t xml:space="preserve">указом Мэра Москвы от 21 марта 2013 года № 22-УМ</w:t>
              </w:r>
            </w:hyperlink>
          </w:p>
        </w:tc>
        <w:tc>
          <w:tcPr/>
          <w:p>
            <w:pPr>
              <w:jc w:val="left"/>
            </w:pPr>
            <w:r>
              <w:t xml:space="preserve">Признать представленные сведения 2 государственными гражданскими служащими достоверными и полными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http://zao.mos.ru/anti-corruption/the-commission-for-observance-of-requirements-for-the-official-behaviour-of-state-civil-employees-of/detail/11694059.html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anti-corruption/the-commission-for-observance-of-requirements-for-the-official-behaviour-of-state-civil-employees-of/detail/11694059.html" TargetMode="External" /><Relationship Type="http://schemas.openxmlformats.org/officeDocument/2006/relationships/hyperlink" Id="rId20" Target="https://docs.cntd.ru/document/371705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anti-corruption/the-commission-for-observance-of-requirements-for-the-official-behaviour-of-state-civil-employees-of/detail/11694059.html" TargetMode="External" /><Relationship Type="http://schemas.openxmlformats.org/officeDocument/2006/relationships/hyperlink" Id="rId20" Target="https://docs.cntd.ru/document/371705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2025-02-14T01:01:20Z</dcterms:created>
  <dcterms:modified xsi:type="dcterms:W3CDTF">2025-02-14T01:01:20Z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