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b5d47a209ae04fa5aa7aebc66a33b365e2273f"/>
    <w:p>
      <w:pPr>
        <w:pStyle w:val="Heading3"/>
      </w:pPr>
      <w:r>
        <w:t xml:space="preserve">Протокол заседания Комиссии по соблюдению требований к служебному поведению государственных гражданских служащих города Москвы и урегулированию конфликта интересов префектуры Западного административного округа города Москвы от 29.08.2019 г. № 4/19</w:t>
      </w:r>
    </w:p>
    <w:p>
      <w:pPr>
        <w:pStyle w:val="FirstParagraph"/>
      </w:pPr>
      <w:r>
        <w:t xml:space="preserve">08.05.2020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http://zao.mos.ru/anti-corruption/the-commission-for-observance-of-requirements-for-the-official-behaviour-of-state-civil-employees-of/detail/8884176.html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anti-corruption/the-commission-for-observance-of-requirements-for-the-official-behaviour-of-state-civil-employees-of/detail/88841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ao.mos.ru" TargetMode="External" /><Relationship Type="http://schemas.openxmlformats.org/officeDocument/2006/relationships/hyperlink" Id="rId20" Target="http://zao.mos.ru/anti-corruption/the-commission-for-observance-of-requirements-for-the-official-behaviour-of-state-civil-employees-of/detail/88841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2025-06-05T19:20:29Z</dcterms:created>
  <dcterms:modified xsi:type="dcterms:W3CDTF">2025-06-05T19:20:29Z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