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71924c53e65e04d015eaa8081782c86840a65"/>
    <w:p>
      <w:pPr>
        <w:pStyle w:val="Heading3"/>
      </w:pPr>
      <w:r>
        <w:t xml:space="preserve">Протокол заседания Комиссии по соблюдению требований к служебному поведению государственных гражданских служащих города Москвы и урегулированию конфликта интересов префектуры Западного административного округа города Москвы от 18.02.2020 г. № 1/20</w:t>
      </w:r>
    </w:p>
    <w:p>
      <w:pPr>
        <w:pStyle w:val="FirstParagraph"/>
      </w:pPr>
      <w:r>
        <w:t xml:space="preserve">08.05.2020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http://zao.mos.ru/anti-corruption/the-commission-for-observance-of-requirements-for-the-official-behaviour-of-state-civil-employees-of/detail/8884180.html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the-commission-for-observance-of-requirements-for-the-official-behaviour-of-state-civil-employees-of/detail/8884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the-commission-for-observance-of-requirements-for-the-official-behaviour-of-state-civil-employees-of/detail/8884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2025-06-11T17:45:28Z</dcterms:created>
  <dcterms:modified xsi:type="dcterms:W3CDTF">2025-06-11T17:45:28Z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