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e4441bb5c5960beb3b036b4eaf33ce69cf84df"/>
    <w:p>
      <w:pPr>
        <w:pStyle w:val="Heading3"/>
      </w:pPr>
      <w:r>
        <w:t xml:space="preserve">Информация для правообладателей ранее учтенных объектов недвижимости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t xml:space="preserve">На основании вступившего в силу 29.06.2021 Федерального закона от 30.12.2020 N 518-ФЗ «О внесении изменений в отдельные законодательные акты Российской Федерации» (далее - Закон № 518-ФЗ) Департаментом городского имущества города Москвы (далее – Департамент) совместно с Государственной инспекцией по контролю за использованием объектов города Москвы будут проводиться мероприятия по выявлению правообладателей ранее учтенных объектов недвижимости, принятию решений о выявленных правообладателях ранее учтенных объектов недвижимости и направлению сведений о них в Единый государственный реестр недвижимости (далее – ЕГРН) в качестве дополнительных сведений об объекте недвижимости, подлежащих внесению в ЕГРН.</w:t>
      </w:r>
    </w:p>
    <w:p>
      <w:pPr>
        <w:pStyle w:val="BodyText"/>
      </w:pPr>
      <w:r>
        <w:rPr>
          <w:bCs/>
          <w:b/>
        </w:rPr>
        <w:t xml:space="preserve">К ранее учтенным объектам недвижимости относятся объекты, права на которые возникли до 31 января 1998 года (т.е. до вступления в силу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Федерального закона от 21.07.1997 № 122-ФЗ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t xml:space="preserve">В целях выявления правообладателей Департаментом будет запрашиваться информация в МВД России, ФНС России, Росреестре, ПФР, нотариальных палатах, органах ЗАГС. Кроме того, будут анализироваться архивные сведения о правообладателях, имеющиеся в распоряжении уполномоченного органа.</w:t>
      </w:r>
    </w:p>
    <w:p>
      <w:pPr>
        <w:pStyle w:val="BodyText"/>
      </w:pPr>
      <w:r>
        <w:t xml:space="preserve">По итогам проведения анализа сведений будет приниматься соответствующее решение (распоряжение) о выявлении правообладателя ранее учтенного объекта недвижимости в ЕГРН с предварительным уведомлением правообладателя: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 правообладателе ранее учтенного объекта недвижимости</w:t>
      </w:r>
      <w:r>
        <w:t xml:space="preserve"> </w:t>
      </w:r>
      <w:r>
        <w:t xml:space="preserve">– в случае, если сведения о ранее учтенном объекте недвижимости, за исключением сведений о его правообладателе, содержатся в ЕГРН;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 ранее учтенном объекте недвижимости и о правообладателе ранее учтенного объекта недвижимости</w:t>
      </w:r>
      <w:r>
        <w:t xml:space="preserve"> </w:t>
      </w:r>
      <w:r>
        <w:t xml:space="preserve">– в случае, если сведения о ранее учтенном объекте недвижимости, а также о его правообладателе в ЕГРН отсутствуют.</w:t>
      </w:r>
    </w:p>
    <w:p>
      <w:pPr>
        <w:pStyle w:val="BodyText"/>
      </w:pPr>
      <w:r>
        <w:t xml:space="preserve">Лицо, выявленное в качестве правообладателя ранее учтенного объекта недвижимости, или иное заинтересованное лицо вправе представить в уполномоченный орган возражения относительно сведений, содержащихся в проекте решения (распоряжения) о выявлении правообладателя ранее учтенного объекта недвижимости.</w:t>
      </w:r>
    </w:p>
    <w:p>
      <w:pPr>
        <w:pStyle w:val="BodyText"/>
      </w:pPr>
      <w:r>
        <w:t xml:space="preserve">Финансовые расходы со стороны правообладателей объектов недвижимости за внесение сведений в ЕГРН не потребуются.</w:t>
      </w:r>
    </w:p>
    <w:p>
      <w:pPr>
        <w:pStyle w:val="BodyText"/>
      </w:pPr>
      <w:r>
        <w:t xml:space="preserve">По результатам проводимых мероприятий в регистрирующий орган будут направляться заявления для внесения в ЕГРН сведений о выявленных ранее учтенных объектах недвижимости и их правообладателях, а также заявления о снятии с государственного кадастрового учета ранее учтенного объекта недвижимости в случае его фактического отсутствия по итогам проверки.</w:t>
      </w:r>
    </w:p>
    <w:p>
      <w:pPr>
        <w:pStyle w:val="BodyText"/>
      </w:pPr>
      <w:r>
        <w:t xml:space="preserve">Решение (распоряжение) о выявлении не является основанием для регистрации права собственности выявленного правообладателя.</w:t>
      </w:r>
      <w:bookmarkStart w:id="21" w:name="Xef717cd9f22e285bbe14e3f54123e93b56da248"/>
      <w:bookmarkEnd w:id="21"/>
    </w:p>
    <w:p>
      <w:pPr>
        <w:pStyle w:val="BodyText"/>
      </w:pPr>
      <w:r>
        <w:t xml:space="preserve">В целях взаимодействия с заинтересованными лицами сведения о правообладателях ранее учтенных объектов недвижимости, в том числе документы, подтверждающие права на ранее учтенные объекты недвижимости, могут быть представлены в Департамент городского имущества города Москвы</w:t>
      </w:r>
      <w:r>
        <w:t xml:space="preserve"> </w:t>
      </w:r>
      <w:r>
        <w:rPr>
          <w:bCs/>
          <w:b/>
        </w:rPr>
        <w:t xml:space="preserve">самими правообладателями таких объектов (их уполномоченными представителями) либо иными лицами, права и законные интересы которых могут быть затронуты</w:t>
      </w:r>
      <w:r>
        <w:t xml:space="preserve"> </w:t>
      </w:r>
      <w:r>
        <w:t xml:space="preserve">с указанием сведений о почтовом адресе и (или) адресе электронной почты для связи с ними без личного посещения через сервис</w:t>
      </w:r>
      <w:r>
        <w:t xml:space="preserve"> </w:t>
      </w:r>
      <w:r>
        <w:rPr>
          <w:bCs/>
          <w:b/>
        </w:rPr>
        <w:t xml:space="preserve">«Электронная приемная»</w:t>
      </w:r>
      <w:r>
        <w:t xml:space="preserve"> </w:t>
      </w:r>
      <w:r>
        <w:t xml:space="preserve">сайта по адресу в сети Интернет: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https://www.mos.ru/feedback/reception</w:t>
        </w:r>
        <w:r>
          <w:rPr>
            <w:rStyle w:val="Hyperlink"/>
          </w:rPr>
          <w:t xml:space="preserve">/</w:t>
        </w:r>
      </w:hyperlink>
      <w:r>
        <w:t xml:space="preserve">, либо направлением почтовым отправлением соответствующего обращения с указанием фамилии, имени, отчества, контактных данных (адрес, телефон), сути вопроса с приложением копий необходимых документов, а также путем личного обращения в службу «одного окна» Департамента городского имущества города Москвы.</w:t>
      </w:r>
    </w:p>
    <w:p>
      <w:pPr>
        <w:pStyle w:val="BodyText"/>
      </w:pPr>
      <w:r>
        <w:t xml:space="preserve">Адреса подразделений службы «одного окна» размещены на официальном сайте Мэра Москвы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www.mos.ru/dgi/</w:t>
        </w:r>
      </w:hyperlink>
      <w:r>
        <w:t xml:space="preserve"> </w:t>
      </w:r>
      <w:r>
        <w:t xml:space="preserve">в разделе</w:t>
      </w:r>
      <w:r>
        <w:t xml:space="preserve"> </w:t>
      </w:r>
      <w:r>
        <w:rPr>
          <w:bCs/>
          <w:b/>
        </w:rPr>
        <w:t xml:space="preserve">«Услуги»</w:t>
      </w:r>
      <w:r>
        <w:t xml:space="preserve">, подраздела</w:t>
      </w:r>
      <w:r>
        <w:t xml:space="preserve"> </w:t>
      </w:r>
      <w:r>
        <w:rPr>
          <w:bCs/>
          <w:b/>
        </w:rPr>
        <w:t xml:space="preserve">«Подробнее об услугах ведомства, подведомственных организациях, а также о местах обращения»</w:t>
      </w:r>
      <w:r>
        <w:t xml:space="preserve">, а также на информационных стендах во всех подразделениях службы «одного окна» Департамента городского имущества города Москвы.</w:t>
      </w:r>
    </w:p>
    <w:p>
      <w:pPr>
        <w:pStyle w:val="BodyText"/>
      </w:pPr>
      <w:r>
        <w:rPr>
          <w:bCs/>
          <w:b/>
        </w:rPr>
        <w:t xml:space="preserve">Вместе с тем, до принятия соответствующего решения (распоряжения) и направления сведений в орган регистрации прав заявитель имеет право зарегистрировать ранее возникшее право собственности на объект недвижимости в ЕГРН самостоятельно в порядке, установленным ст. 69 Федерального закона от 13.07.2015 N 218-ФЗ «О государственной регистрации недвижимости».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http://zao.mos.ru/information-for-citizens-new/detail/10210339.html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kremlin.ru/acts/bank/11239" TargetMode="External" /><Relationship Type="http://schemas.openxmlformats.org/officeDocument/2006/relationships/hyperlink" Id="rId23" Target="http://www.mos.ru/dgi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0210339.html" TargetMode="External" /><Relationship Type="http://schemas.openxmlformats.org/officeDocument/2006/relationships/hyperlink" Id="rId22" Target="https://www.mos.ru/feedback/recep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kremlin.ru/acts/bank/11239" TargetMode="External" /><Relationship Type="http://schemas.openxmlformats.org/officeDocument/2006/relationships/hyperlink" Id="rId23" Target="http://www.mos.ru/dgi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0210339.html" TargetMode="External" /><Relationship Type="http://schemas.openxmlformats.org/officeDocument/2006/relationships/hyperlink" Id="rId22" Target="https://www.mos.ru/feedback/recep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2025-08-05T01:08:43Z</dcterms:created>
  <dcterms:modified xsi:type="dcterms:W3CDTF">2025-08-05T01:08:43Z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