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отальный-тест-доступная-среда"/>
    <w:p>
      <w:pPr>
        <w:pStyle w:val="Heading3"/>
      </w:pPr>
      <w:r>
        <w:t xml:space="preserve">Тотальный тест «Доступная среда»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Информация о проведении акции в сфере инклюзии – «Тотальный тест «Доступная среда», приуроченная к международному дню инвалидов доступна на сайте </w:t>
      </w:r>
      <w:hyperlink r:id="rId20">
        <w:r>
          <w:rPr>
            <w:rStyle w:val="Hyperlink"/>
          </w:rPr>
          <w:t xml:space="preserve">https://www.total-test.ru/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http://zao.mos.ru/information-for-citizens-new/detail/10449495.html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449495.html" TargetMode="External" /><Relationship Type="http://schemas.openxmlformats.org/officeDocument/2006/relationships/hyperlink" Id="rId20" Target="https://www.total-tes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449495.html" TargetMode="External" /><Relationship Type="http://schemas.openxmlformats.org/officeDocument/2006/relationships/hyperlink" Id="rId20" Target="https://www.total-tes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2024-10-05T17:37:05Z</dcterms:created>
  <dcterms:modified xsi:type="dcterms:W3CDTF">2024-10-05T17:37:05Z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