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новогодний-фестиваль-чудесная-мастерская"/>
    <w:p>
      <w:pPr>
        <w:pStyle w:val="Heading3"/>
      </w:pPr>
      <w:r>
        <w:t xml:space="preserve">Новогодний фестиваль "Чудесная мастерская"</w:t>
      </w:r>
    </w:p>
    <w:p>
      <w:pPr>
        <w:pStyle w:val="FirstParagraph"/>
      </w:pPr>
      <w:r>
        <w:t xml:space="preserve">21.12.2023</w:t>
      </w:r>
    </w:p>
    <w:p>
      <w:pPr>
        <w:pStyle w:val="BodyText"/>
      </w:pPr>
      <w:r>
        <w:drawing>
          <wp:inline>
            <wp:extent cx="3998976" cy="554431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ao.mos.ru/www/AiF/2021/Афиша_новогодний%20фестиваль%20Чудесная%20мастерская_ОКЦ%20ЗАО_page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8976" cy="55443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http://zao.mos.ru/information-for-citizens-new/detail/12066368.html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information-for-citizens-new/detail/120663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information-for-citizens-new/detail/120663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2025-05-07T04:13:29Z</dcterms:created>
  <dcterms:modified xsi:type="dcterms:W3CDTF">2025-05-07T04:13:29Z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