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1a4390d1f0bdae798bdaf92ef81a48ab98c78"/>
    <w:p>
      <w:pPr>
        <w:pStyle w:val="Heading3"/>
      </w:pPr>
      <w:r>
        <w:t xml:space="preserve">Роспотребнадзор информирует. Как выбрать качественное куриное яйцо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drawing>
          <wp:inline>
            <wp:extent cx="5334000" cy="75371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Как%20выбрать%20качественное%20куриное%20яйцо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7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http://zao.mos.ru/information-for-citizens-new/detail/12073959.html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073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ao.mos.ru" TargetMode="External" /><Relationship Type="http://schemas.openxmlformats.org/officeDocument/2006/relationships/hyperlink" Id="rId23" Target="http://zao.mos.ru/information-for-citizens-new/detail/12073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2025-06-09T09:07:10Z</dcterms:created>
  <dcterms:modified xsi:type="dcterms:W3CDTF">2025-06-09T09:07:10Z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