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ee0f6fe7a032498ec3ef35af0b4e94d519ba04"/>
    <w:p>
      <w:pPr>
        <w:pStyle w:val="Heading3"/>
      </w:pPr>
      <w:r>
        <w:t xml:space="preserve">Основные изменения в налогообложении имущества физических лиц</w:t>
      </w:r>
    </w:p>
    <w:p>
      <w:pPr>
        <w:pStyle w:val="FirstParagraph"/>
      </w:pPr>
      <w:r>
        <w:t xml:space="preserve">17.10.2024</w:t>
      </w:r>
    </w:p>
    <w:p>
      <w:pPr>
        <w:pStyle w:val="BodyText"/>
      </w:pPr>
      <w:r>
        <w:t xml:space="preserve">Налоговые уведомления, направленные в 2024 году, содержат расчет налогов имущественных налогов физических лиц за налоговый период 2023 года. При этом, по сравнению с предыдущим налоговым периодом произошли следующие основные изменения.</w:t>
      </w:r>
    </w:p>
    <w:p>
      <w:pPr>
        <w:pStyle w:val="BodyText"/>
      </w:pPr>
      <w:r>
        <w:rPr>
          <w:bCs/>
          <w:b/>
        </w:rPr>
        <w:t xml:space="preserve">Транспортный налог</w:t>
      </w:r>
    </w:p>
    <w:p>
      <w:pPr>
        <w:pStyle w:val="BodyText"/>
      </w:pPr>
      <w:r>
        <w:t xml:space="preserve">- при расчете налога применен Перечень легковых автомобилей средней стоимостью от 10 млн руб. за 2023 год, размещенный на официальном сайте Минпромторга России. Для налогообложения с применением повышающего коэффициента 3 используются позиции Перечня для легковых автомобилей средней стоимостью от 10 млн. до 15 млн. рублей, с года выпуска которых прошло не более 10 лет, и средней стоимостью от 15 млн. рублей, с года выпуска которых прошло не более 20 лет.</w:t>
      </w:r>
    </w:p>
    <w:p>
      <w:pPr>
        <w:pStyle w:val="BodyText"/>
      </w:pPr>
      <w:r>
        <w:rPr>
          <w:bCs/>
          <w:b/>
        </w:rPr>
        <w:t xml:space="preserve">Земельный налог</w:t>
      </w:r>
    </w:p>
    <w:p>
      <w:pPr>
        <w:pStyle w:val="BodyText"/>
      </w:pPr>
      <w:r>
        <w:t xml:space="preserve">- применены ограничения роста налоговой базы в соответствии с пунктом 18 статьи 2 Федерального закона от 26.03.2022 № 67-ФЗ «О внесении изменений в части первую и вторую Налогового кодекса Российской Федерации и статью 2 Федерального закона «О внесении изменений в часть вторую Налогового кодекса Российской Федерации». В частности, в случае увеличения кадастровой стоимости земельного участка на 01.01.2023 (в том числе в результате проведения в 2022 году нового тура государственной кадастровой оценки земель и утверждения его результатов) для расчета налога за налоговый период 2023 года применена кадастровая стоимость земельного участка, внесенная в Единый государственный реестр недвижимости по состоянию на 01.01.2022, за исключением случаев, если кадастровая стоимость земельного участка увеличилась вследствие изменения его характеристик.</w:t>
      </w:r>
    </w:p>
    <w:p>
      <w:pPr>
        <w:pStyle w:val="BodyText"/>
      </w:pPr>
      <w:r>
        <w:t xml:space="preserve">С информацией о кадастровой стоимости земельного участка можно ознакомиться, получив выписку из Единого государственного реестра недвижимости в МФЦ или на официальном сайте Росреестра.</w:t>
      </w:r>
    </w:p>
    <w:p>
      <w:pPr>
        <w:pStyle w:val="BodyText"/>
      </w:pPr>
      <w:r>
        <w:rPr>
          <w:bCs/>
          <w:b/>
        </w:rPr>
        <w:t xml:space="preserve">Налог на имущество физических лиц</w:t>
      </w:r>
    </w:p>
    <w:p>
      <w:pPr>
        <w:pStyle w:val="BodyText"/>
      </w:pPr>
      <w:r>
        <w:t xml:space="preserve">- для расчета налога за налоговый период 2023 года применена кадастровая стоимость объектов недвижимости, при этом для исчисления налога использованы коэффициенты:</w:t>
      </w:r>
    </w:p>
    <w:p>
      <w:pPr>
        <w:pStyle w:val="BodyText"/>
      </w:pPr>
      <w:r>
        <w:t xml:space="preserve">• 10-типроцентного ограничения роста налога по сравнению с предшествующим налоговым периодом – для регионов, где кадастровая стоимость применяется в качестве налоговой базы третий и последующие годы (за исключением объектов, включенных в перечень, определяемый в соответствии с п.7 ст. 378.2 НК РФ, а также объектов, предусмотренных абз. 2 п. 10 ст. 378.2 НК РФ, кроме гаражей и машино-мест, расположенных в таких объектах налогообложения);</w:t>
      </w:r>
    </w:p>
    <w:p>
      <w:pPr>
        <w:pStyle w:val="BodyText"/>
      </w:pPr>
      <w:r>
        <w:t xml:space="preserve">• 0.6 в отношении объекта налогообложения, образованного начиная с четвертого налогового периода, в котором налоговая база определяется в соответствующем муниципальном образовании (городе федерального значения) исходя из кадастровой стоимости – применительно к первому налоговому периоду, за который исчисляется налог в отношении этого объекта налогообложения (за исключением объектов, включенных в перечень, определяемый в соответствии с п.7 ст. 378.2 НК РФ, а также объектов, предусмотренных п.7 ст. 378.2 НК РФ, кроме гаражей и машино-мест, расположенных в таких объектах налогообложения);</w:t>
      </w:r>
    </w:p>
    <w:p>
      <w:pPr>
        <w:pStyle w:val="BodyText"/>
      </w:pPr>
      <w:r>
        <w:t xml:space="preserve">• 0.6 (в 2023 году был 0.4) – для г. Севастополя, где кадастровая стоимость применяется в качестве налоговой базы третий год;</w:t>
      </w:r>
    </w:p>
    <w:p>
      <w:pPr>
        <w:pStyle w:val="BodyText"/>
      </w:pPr>
      <w:r>
        <w:t xml:space="preserve">- применены изменения в системе налоговых ставок и льгот в соответствии с нормативными правовыми актами муниципальных образований (городов федерального значения) по месту нахождения объектов налогообложения.</w:t>
      </w:r>
    </w:p>
    <w:p>
      <w:pPr>
        <w:pStyle w:val="BodyText"/>
      </w:pPr>
      <w:r>
        <w:t xml:space="preserve">Поскольку расчет налогов на имущество проводится исходя из налоговых ставок, льгот и налоговой базы, определяемой на региональном и муниципальном уровне, причины изменения величины налогов в конкретной ситуации можно уточнить в налоговом органе или в контакт-центре ФНС России.</w:t>
      </w:r>
    </w:p>
    <w:p>
      <w:pPr>
        <w:pStyle w:val="BodyText"/>
      </w:pPr>
      <w:r>
        <w:t xml:space="preserve">Фото: эмблема ФНС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http://zao.mos.ru/information-for-citizens-new/detail/12617288.html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26172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26172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2025-02-15T20:30:02Z</dcterms:created>
  <dcterms:modified xsi:type="dcterms:W3CDTF">2025-02-15T20:30:02Z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