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3d66d4fe6ba7c5e74655c99686f7cde8699021"/>
    <w:p>
      <w:pPr>
        <w:pStyle w:val="Heading3"/>
      </w:pPr>
      <w:r>
        <w:t xml:space="preserve">ФНС напоминает о возможности участия граждан в контроле за соблюдением законодательсвта о применении контрольно-кассовой техники</w:t>
      </w:r>
    </w:p>
    <w:p>
      <w:pPr>
        <w:pStyle w:val="FirstParagraph"/>
      </w:pPr>
      <w:r>
        <w:t xml:space="preserve">22.03.2021</w:t>
      </w:r>
    </w:p>
    <w:p>
      <w:pPr>
        <w:pStyle w:val="BodyText"/>
      </w:pPr>
      <w:r>
        <w:drawing>
          <wp:inline>
            <wp:extent cx="5334000" cy="75493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Приложение%20№1%20баннер%20о%20применении%20ккт_copy%20ОБЩЕПИТ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9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http://zao.mos.ru/information-for-citizens-new/detail/9804228.html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information-for-citizens-new/detail/98042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information-for-citizens-new/detail/98042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2023-10-10T08:15:36Z</dcterms:created>
  <dcterms:modified xsi:type="dcterms:W3CDTF">2023-10-10T08:15:36Z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