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91e231e920cfaf928c6fa00f88b4c28e3c0a19"/>
    <w:p>
      <w:pPr>
        <w:pStyle w:val="Heading3"/>
      </w:pPr>
      <w:r>
        <w:t xml:space="preserve">Прошло заседание Окружной комиссии по пресечению самовольного строительства на территории ЗАО</w:t>
      </w:r>
    </w:p>
    <w:p>
      <w:pPr>
        <w:pStyle w:val="FirstParagraph"/>
      </w:pPr>
      <w:r>
        <w:t xml:space="preserve">16.03.2016</w:t>
      </w:r>
    </w:p>
    <w:p>
      <w:pPr>
        <w:pStyle w:val="BodyText"/>
      </w:pPr>
      <w:r>
        <w:rPr>
          <w:iCs/>
          <w:i/>
        </w:rPr>
        <w:t xml:space="preserve">На проведенном заседании рассмотрены вопросы о законности использования земельных участков для размещения объектов, не являющихся объектами капитального строительства</w:t>
      </w:r>
    </w:p>
    <w:p>
      <w:pPr>
        <w:pStyle w:val="BodyText"/>
      </w:pPr>
      <w:r>
        <w:t xml:space="preserve">В соответствии с положениями постановлений Правительства Москвы от 31.05.2011 № 234-ПП «Об организации работы по выявлению и пресечению самовольного строительства на территории города Москвы» и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в префектуре</w:t>
      </w:r>
      <w:r>
        <w:t xml:space="preserve"> </w:t>
      </w:r>
      <w:r>
        <w:rPr>
          <w:bCs/>
          <w:b/>
        </w:rPr>
        <w:t xml:space="preserve">10.03.2016 проведено заседание Окружной комиссии по пресечению самовольного строительства на территории Западного административного округа.</w:t>
      </w:r>
    </w:p>
    <w:p>
      <w:pPr>
        <w:pStyle w:val="BodyText"/>
      </w:pPr>
      <w:r>
        <w:t xml:space="preserve">На проведенном заседании рассмотрены вопросы о законности использования земельных участков для размещения объектов, не являющихся объектами капитального строительства.</w:t>
      </w:r>
    </w:p>
    <w:p>
      <w:pPr>
        <w:pStyle w:val="BodyText"/>
      </w:pPr>
      <w:r>
        <w:t xml:space="preserve">По итогам рассмотрения установлено, что объекты размещены в отсутствие документов, являющихся основанием для размещения объектов, не являющихся объектами капитального строительства, и подлежат демонтажу (перемещению) в соответствии с постановлением Правительства Москвы от 02.11.2012 № 614-ПП (перечень объектов приведен ниже).</w:t>
      </w:r>
    </w:p>
    <w:p>
      <w:pPr>
        <w:pStyle w:val="BodyText"/>
      </w:pPr>
      <w:r>
        <w:t xml:space="preserve">Правообладатели объектов вправе самостоятельно (в добровольном порядке) осуществить мероприятия по демонтажу незаконно размещенных объектов и освобождению незаконно занимаемых земельных участков.</w:t>
      </w:r>
    </w:p>
    <w:p>
      <w:pPr>
        <w:pStyle w:val="BodyText"/>
      </w:pPr>
      <w:r>
        <w:t xml:space="preserve">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 самостоятельно осуществляется демонтаж и (или) перемещение незаконно размещенных объектов на специально организованную для хранения площадку (срок хранения - 6 месяцев).</w:t>
      </w:r>
    </w:p>
    <w:p>
      <w:pPr>
        <w:pStyle w:val="BodyText"/>
      </w:pPr>
      <w:r>
        <w:rPr>
          <w:bCs/>
          <w:b/>
        </w:rPr>
        <w:t xml:space="preserve">В целях возврата правообладателю демонтированного объекта (либо его составляющих элементов и имущества, находившегося в демонтированном объекте) необходимо обращаться в префектуру с приложением одного из следующих документов:</w:t>
      </w:r>
    </w:p>
    <w:p>
      <w:pPr>
        <w:pStyle w:val="BodyText"/>
      </w:pPr>
      <w:r>
        <w:t xml:space="preserve">- копии ранее действовавшего договора пользования земельным участком;</w:t>
      </w:r>
    </w:p>
    <w:p>
      <w:pPr>
        <w:pStyle w:val="BodyText"/>
      </w:pPr>
      <w:r>
        <w:t xml:space="preserve">- копии договора на размещение объекта, не являющегося объектом капитального строительства;</w:t>
      </w:r>
    </w:p>
    <w:p>
      <w:pPr>
        <w:pStyle w:val="BodyText"/>
      </w:pPr>
      <w:r>
        <w:t xml:space="preserve">- копии договора на размещение нестационарного торгового объекта;</w:t>
      </w:r>
    </w:p>
    <w:p>
      <w:pPr>
        <w:pStyle w:val="BodyText"/>
      </w:pPr>
      <w:r>
        <w:t xml:space="preserve">- копии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объектов;</w:t>
      </w:r>
    </w:p>
    <w:p>
      <w:pPr>
        <w:pStyle w:val="BodyText"/>
      </w:pPr>
      <w:r>
        <w:t xml:space="preserve">- копии решений суда об установлении права собственности на объект, не являющийся объектом капитального строительства.</w:t>
      </w:r>
    </w:p>
    <w:p>
      <w:pPr>
        <w:pStyle w:val="BodyText"/>
      </w:pPr>
      <w:r>
        <w:t xml:space="preserve">Основаниями для отказа в выдаче предмета хранения являются непредставление правообладателем документов, подтверждающих принадлежность объекта правообладателю, и (или) представление документов, содержащих недостоверные сведения.</w:t>
      </w:r>
    </w:p>
    <w:p>
      <w:pPr>
        <w:pStyle w:val="BodyText"/>
      </w:pPr>
      <w:r>
        <w:rPr>
          <w:bCs/>
          <w:b/>
        </w:rPr>
        <w:t xml:space="preserve">Перечень земельных участков, на которых размещены объекты, рассмотренные на заседании Окружной комиссии по пресечению самовольного строительства, и приняты решения об их демонтаже (перемещении)</w:t>
      </w:r>
    </w:p>
    <w:p>
      <w:pPr>
        <w:pStyle w:val="BodyText"/>
      </w:pPr>
      <w:r>
        <w:rPr>
          <w:u w:val="single"/>
          <w:bCs/>
          <w:b/>
        </w:rPr>
        <w:t xml:space="preserve">(протокол от 10.03.2016 № 2):</w:t>
      </w:r>
    </w:p>
    <w:p>
      <w:pPr>
        <w:pStyle w:val="BodyText"/>
      </w:pPr>
      <w:r>
        <w:rPr>
          <w:bCs/>
          <w:b/>
        </w:rPr>
        <w:t xml:space="preserve">1. Осенний бульвар, вл. 5, корп. 3 (Крылатское)</w:t>
      </w:r>
      <w:r>
        <w:t xml:space="preserve"> </w:t>
      </w:r>
      <w:r>
        <w:t xml:space="preserve">металлические тенты типа «пенал» (21 шт)</w:t>
      </w:r>
    </w:p>
    <w:p>
      <w:pPr>
        <w:pStyle w:val="BodyText"/>
      </w:pPr>
      <w:r>
        <w:rPr>
          <w:bCs/>
          <w:b/>
        </w:rPr>
        <w:t xml:space="preserve">2. поселок Рублево, на пересечении Обводного шоссе и ул. Советской (Кунцево)</w:t>
      </w:r>
      <w:r>
        <w:t xml:space="preserve"> </w:t>
      </w:r>
      <w:r>
        <w:t xml:space="preserve">металлический забор (ворота)</w:t>
      </w:r>
    </w:p>
    <w:p>
      <w:pPr>
        <w:pStyle w:val="BodyText"/>
      </w:pPr>
      <w:r>
        <w:rPr>
          <w:bCs/>
          <w:b/>
        </w:rPr>
        <w:t xml:space="preserve">3. пересечение ул. Красных Зорь и ул. Ращупкина (Можайский)</w:t>
      </w:r>
      <w:r>
        <w:t xml:space="preserve"> </w:t>
      </w:r>
      <w:r>
        <w:t xml:space="preserve">шлагбаум</w:t>
      </w:r>
    </w:p>
    <w:p>
      <w:pPr>
        <w:pStyle w:val="BodyText"/>
      </w:pPr>
      <w:r>
        <w:rPr>
          <w:bCs/>
          <w:b/>
        </w:rPr>
        <w:t xml:space="preserve">4. Аминьевское шоссе, вл. 17 (Очаково-Матвеевское)</w:t>
      </w:r>
      <w:r>
        <w:t xml:space="preserve"> </w:t>
      </w:r>
      <w:r>
        <w:t xml:space="preserve">металлические гаражи (3 шт), металлический забор</w:t>
      </w:r>
    </w:p>
    <w:p>
      <w:pPr>
        <w:pStyle w:val="BodyText"/>
      </w:pPr>
      <w:r>
        <w:rPr>
          <w:bCs/>
          <w:b/>
        </w:rPr>
        <w:t xml:space="preserve">5. проспект Вернадского, вл. 72 (Проспект Вернадского)</w:t>
      </w:r>
      <w:r>
        <w:t xml:space="preserve"> </w:t>
      </w:r>
      <w:r>
        <w:t xml:space="preserve">металлические гаражи (7 шт)</w:t>
      </w:r>
    </w:p>
    <w:p>
      <w:pPr>
        <w:pStyle w:val="BodyText"/>
      </w:pPr>
      <w:r>
        <w:rPr>
          <w:bCs/>
          <w:b/>
        </w:rPr>
        <w:t xml:space="preserve">6. ул. Удальцова, вл. 30 (Проспект Вернадского)</w:t>
      </w:r>
      <w:r>
        <w:t xml:space="preserve"> </w:t>
      </w:r>
      <w:r>
        <w:t xml:space="preserve">металлические тенты типа «пенал», «ракушка» (6 шт)</w:t>
      </w:r>
    </w:p>
    <w:p>
      <w:pPr>
        <w:pStyle w:val="BodyText"/>
      </w:pPr>
      <w:r>
        <w:rPr>
          <w:bCs/>
          <w:b/>
        </w:rPr>
        <w:t xml:space="preserve">7. ул. Братьев Фонченко, вл. 21 (Раменки)</w:t>
      </w:r>
      <w:r>
        <w:t xml:space="preserve"> </w:t>
      </w:r>
      <w:r>
        <w:t xml:space="preserve">металлические гаражи, тенты, ангары, КПП, бытовки, контейнеры, забор</w:t>
      </w:r>
    </w:p>
    <w:p>
      <w:pPr>
        <w:pStyle w:val="BodyText"/>
      </w:pPr>
      <w:r>
        <w:rPr>
          <w:bCs/>
          <w:b/>
        </w:rPr>
        <w:t xml:space="preserve">8. пойма р. Сетунь, пр.пр. № 2304 (Раменки)</w:t>
      </w:r>
      <w:r>
        <w:t xml:space="preserve"> </w:t>
      </w:r>
      <w:r>
        <w:t xml:space="preserve">металлические контейнеры, хозяйственные постройки, забор</w:t>
      </w:r>
    </w:p>
    <w:p>
      <w:pPr>
        <w:pStyle w:val="BodyText"/>
      </w:pPr>
      <w:r>
        <w:rPr>
          <w:bCs/>
          <w:b/>
        </w:rPr>
        <w:t xml:space="preserve">9. Мичуринский проспект, вл. 31, корп. 3 (Раменки)</w:t>
      </w:r>
      <w:r>
        <w:t xml:space="preserve"> </w:t>
      </w:r>
      <w:r>
        <w:t xml:space="preserve">металлические тенты типа «пенал» (2 шт)</w:t>
      </w:r>
    </w:p>
    <w:p>
      <w:pPr>
        <w:pStyle w:val="BodyText"/>
      </w:pPr>
      <w:r>
        <w:rPr>
          <w:bCs/>
          <w:b/>
        </w:rPr>
        <w:t xml:space="preserve">10. Воробьевское шоссе, вл. 2А (Раменки)</w:t>
      </w:r>
      <w:r>
        <w:t xml:space="preserve"> </w:t>
      </w:r>
      <w:r>
        <w:t xml:space="preserve">некапитальные строения</w:t>
      </w:r>
    </w:p>
    <w:p>
      <w:pPr>
        <w:pStyle w:val="BodyText"/>
      </w:pPr>
      <w:r>
        <w:rPr>
          <w:bCs/>
          <w:b/>
        </w:rPr>
        <w:t xml:space="preserve">11. ул. Академика Анохина, вл. 12 (Тропарево-Никулино)</w:t>
      </w:r>
      <w:r>
        <w:t xml:space="preserve"> </w:t>
      </w:r>
      <w:r>
        <w:t xml:space="preserve">торговый павильон</w:t>
      </w:r>
    </w:p>
    <w:p>
      <w:pPr>
        <w:pStyle w:val="BodyText"/>
      </w:pPr>
      <w:r>
        <w:rPr>
          <w:bCs/>
          <w:b/>
        </w:rPr>
        <w:t xml:space="preserve">12. проспект Вернадского, вблизи вл. 86 (Тропарево-Никулино)</w:t>
      </w:r>
      <w:r>
        <w:t xml:space="preserve"> </w:t>
      </w:r>
      <w:r>
        <w:t xml:space="preserve">2 НТО со специализацией «цветы»</w:t>
      </w:r>
    </w:p>
    <w:p>
      <w:pPr>
        <w:pStyle w:val="BodyText"/>
      </w:pPr>
      <w:r>
        <w:rPr>
          <w:bCs/>
          <w:b/>
        </w:rPr>
        <w:t xml:space="preserve">13. проспект Вернадского, вл. 101 (Тропарево-Никулино)</w:t>
      </w:r>
      <w:r>
        <w:t xml:space="preserve"> </w:t>
      </w:r>
      <w:r>
        <w:t xml:space="preserve">НТО со специализацией «овощи-фрукты»</w:t>
      </w:r>
    </w:p>
    <w:p>
      <w:pPr>
        <w:pStyle w:val="BodyText"/>
      </w:pPr>
      <w:r>
        <w:rPr>
          <w:bCs/>
          <w:b/>
        </w:rPr>
        <w:t xml:space="preserve">14. ул. Академика Анохина, вл. 26 (Тропарево-Никулино)</w:t>
      </w:r>
      <w:r>
        <w:t xml:space="preserve"> </w:t>
      </w:r>
      <w:r>
        <w:t xml:space="preserve">НТО со специализацией «овощи-фрукты»</w:t>
      </w:r>
    </w:p>
    <w:p>
      <w:pPr>
        <w:pStyle w:val="BodyText"/>
      </w:pPr>
      <w:r>
        <w:rPr>
          <w:bCs/>
          <w:b/>
        </w:rPr>
        <w:t xml:space="preserve">15. ул. Академика Анохина, вл. 4 (Тропарево-Никулино)</w:t>
      </w:r>
      <w:r>
        <w:t xml:space="preserve"> </w:t>
      </w:r>
      <w:r>
        <w:t xml:space="preserve">НТО со специализацией «овощи-фрукты»</w:t>
      </w:r>
    </w:p>
    <w:p>
      <w:pPr>
        <w:pStyle w:val="BodyText"/>
      </w:pPr>
      <w:r>
        <w:rPr>
          <w:bCs/>
          <w:b/>
        </w:rPr>
        <w:t xml:space="preserve">16. ул. Никулинская, вл. 21 (Тропарево-Никулино)</w:t>
      </w:r>
      <w:r>
        <w:t xml:space="preserve"> </w:t>
      </w:r>
      <w:r>
        <w:t xml:space="preserve">НТО со специализацией «овощи-фрукты»</w:t>
      </w:r>
    </w:p>
    <w:p>
      <w:pPr>
        <w:pStyle w:val="BodyText"/>
      </w:pPr>
      <w:r>
        <w:rPr>
          <w:bCs/>
          <w:b/>
        </w:rPr>
        <w:t xml:space="preserve">17. ул. 26-ти Бакинских Комиссаров, вл. 2 (Тропарево-Никулино)</w:t>
      </w:r>
      <w:r>
        <w:t xml:space="preserve"> </w:t>
      </w:r>
      <w:r>
        <w:t xml:space="preserve">НТО со специализацией «овощи-фрукты»</w:t>
      </w:r>
    </w:p>
    <w:p>
      <w:pPr>
        <w:pStyle w:val="BodyText"/>
      </w:pPr>
      <w:r>
        <w:rPr>
          <w:bCs/>
          <w:b/>
        </w:rPr>
        <w:t xml:space="preserve">18. ул. Покрышкина, вл. 5 (Тропарево-Никулино)</w:t>
      </w:r>
      <w:r>
        <w:t xml:space="preserve"> </w:t>
      </w:r>
      <w:r>
        <w:t xml:space="preserve">НТО со специализацией «цветы»</w:t>
      </w:r>
    </w:p>
    <w:p>
      <w:pPr>
        <w:pStyle w:val="BodyText"/>
      </w:pPr>
      <w:r>
        <w:rPr>
          <w:bCs/>
          <w:b/>
        </w:rPr>
        <w:t xml:space="preserve">19. Мичуринский проспект, Олимпийская деревня, вл. 17 (Тропарево-Никулино)</w:t>
      </w:r>
      <w:r>
        <w:t xml:space="preserve"> </w:t>
      </w:r>
      <w:r>
        <w:t xml:space="preserve">НТО со специализацией «хлеб»</w:t>
      </w:r>
    </w:p>
    <w:p>
      <w:pPr>
        <w:pStyle w:val="BodyText"/>
      </w:pPr>
      <w:r>
        <w:rPr>
          <w:bCs/>
          <w:b/>
        </w:rPr>
        <w:t xml:space="preserve">20. ул. Артамонова, вл. 12, корп. 4 – Аминьевское шоссе, вл. 28, корп. 2 (Фили-Давыдково)</w:t>
      </w:r>
      <w:r>
        <w:t xml:space="preserve"> </w:t>
      </w:r>
      <w:r>
        <w:t xml:space="preserve">металлические тенты типа «пенал» (51 шт)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http://zao.mos.ru/presscenter/news/detail/2604298.html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news/detail/26042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news/detail/26042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2025-04-29T17:26:09Z</dcterms:created>
  <dcterms:modified xsi:type="dcterms:W3CDTF">2025-04-29T17:26:09Z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