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68413d1edb64fd1e6d710d2fa1104ffb930e9"/>
    <w:p>
      <w:pPr>
        <w:pStyle w:val="Heading3"/>
      </w:pPr>
      <w:r>
        <w:t xml:space="preserve">В проекте "Активный гражданин" стартовала акция "Портрет в метро"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iCs/>
          <w:i/>
        </w:rPr>
        <w:t xml:space="preserve">18 апреля начался прием электронных заявок на участие в акции «Портрет в метро», которую проводит проект «Активный гражданин» совместно с Московским метрополитеном. Портреты пользователей портала «Активный гражданин» 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t xml:space="preserve">Запуск тематических и именных поездов – добрая традиция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 портал</w:t>
      </w:r>
      <w:r>
        <w:t xml:space="preserve"> </w:t>
      </w:r>
      <w:hyperlink r:id="rId20">
        <w:r>
          <w:rPr>
            <w:rStyle w:val="Hyperlink"/>
          </w:rPr>
          <w:t xml:space="preserve">ag.mos.ru/metro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http://zao.mos.ru/presscenter/news/detail/2806146.html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80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280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2024-09-20T19:11:25Z</dcterms:created>
  <dcterms:modified xsi:type="dcterms:W3CDTF">2024-09-20T19:11:25Z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