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6ea6b442d983841e4386569962b103c8d7a2b"/>
    <w:p>
      <w:pPr>
        <w:pStyle w:val="Heading3"/>
      </w:pPr>
      <w:r>
        <w:t xml:space="preserve">Жители Внукова приняли участие в экскурсии по святыням Истринского района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t xml:space="preserve">ТЦСО «Ново-Переделкино» филиал «Внуково» организовал для жителей района экскурсию «Святыни Истринского района».</w:t>
      </w:r>
    </w:p>
    <w:p>
      <w:pPr>
        <w:pStyle w:val="BodyText"/>
      </w:pPr>
      <w:r>
        <w:t xml:space="preserve">В ходе мероприятия участники побывали в храме Александра Невского, Ново-Иерусалимском монастыре и прилегающих усадьбах. С этими местами связано большое количество исторических и культурных вех в истории России.</w:t>
      </w:r>
    </w:p>
    <w:p>
      <w:pPr>
        <w:pStyle w:val="BodyText"/>
      </w:pPr>
      <w:r>
        <w:t xml:space="preserve">Экскурсоводы рассказали о патриархе Никоне, его церковной реформе и жизненном пути. Большое внимание было уделено архитектурному ансамблю Ново-Иерусалимсого монастыря, который входит в золотой фонд русского зодчества, являясь ярким примером стиля русского барокко.</w:t>
      </w:r>
    </w:p>
    <w:p>
      <w:pPr>
        <w:pStyle w:val="BodyText"/>
      </w:pPr>
      <w:r>
        <w:t xml:space="preserve">Экскурсанты побывали внутри монастыря, посмотрели на хранящиеся внутри святыни и иконостасы. В храме Александра Невского было особое внимание уделено Корсунско-Торопецкой иконе и истории ее создания.</w:t>
      </w:r>
    </w:p>
    <w:p>
      <w:pPr>
        <w:pStyle w:val="BodyText"/>
      </w:pPr>
      <w:r>
        <w:t xml:space="preserve">Окружающие монастырь здания и сооружения менее известны, но также интересны с точки зрения своей исторической и культурной ценности. Вместе с природным ландшафтом они создают запоминающийся и уникальный вид Истринского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http://zao.mos.ru/presscenter/news/detail/9199488.html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199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199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2024-07-16T05:18:20Z</dcterms:created>
  <dcterms:modified xsi:type="dcterms:W3CDTF">2024-07-16T05:18:20Z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